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360"/>
        <w:tblLayout w:type="fixed"/>
        <w:tblLook w:firstColumn="1" w:firstRow="1" w:lastColumn="0" w:lastRow="0" w:noHBand="0" w:noVBand="1" w:val="04A0"/>
        <w:tblInd w:type="dxa" w:w="120"/>
      </w:tblPr>
      <w:tblGrid>
        <w:gridCol w:w="1800"/>
        <w:gridCol w:w="7560"/>
      </w:tblGrid>
      <w:tr>
        <w:trPr>
          <w:tblHeader w:val="true"/>
        </w:trPr>
        <w:tc>
          <w:tcPr>
            <w:tcW w:type="dxa" w:w="1800"/>
            <w:shd w:fill="FCFAF7"/>
            <w:tcMar>
              <w:top w:w="70" w:type="dxa"/>
              <w:start w:w="120" w:type="dxa"/>
              <w:bottom w:w="70" w:type="dxa"/>
              <w:end w:w="120" w:type="dxa"/>
            </w:tcMar>
            <w:vAlign w:val="center"/>
          </w:tcPr>
          <w:p>
            <w:pPr>
              <w:jc w:val="center"/>
            </w:pPr>
            <w:r>
              <w:drawing>
                <wp:inline xmlns:a="http://schemas.openxmlformats.org/drawingml/2006/main" xmlns:pic="http://schemas.openxmlformats.org/drawingml/2006/picture">
                  <wp:extent cx="658368" cy="658368"/>
                  <wp:docPr id="1" name="Picture 1" descr="Логотип PivoWorlds" title="PivoWorlds"/>
                  <wp:cNvGraphicFramePr>
                    <a:graphicFrameLocks noChangeAspect="1"/>
                  </wp:cNvGraphicFramePr>
                  <a:graphic>
                    <a:graphicData uri="http://schemas.openxmlformats.org/drawingml/2006/picture">
                      <pic:pic>
                        <pic:nvPicPr>
                          <pic:cNvPr id="0" name="logo-pivo.png"/>
                          <pic:cNvPicPr/>
                        </pic:nvPicPr>
                        <pic:blipFill>
                          <a:blip r:embed="rId11"/>
                          <a:stretch>
                            <a:fillRect/>
                          </a:stretch>
                        </pic:blipFill>
                        <pic:spPr>
                          <a:xfrm>
                            <a:off x="0" y="0"/>
                            <a:ext cx="658368" cy="658368"/>
                          </a:xfrm>
                          <a:prstGeom prst="rect"/>
                        </pic:spPr>
                      </pic:pic>
                    </a:graphicData>
                  </a:graphic>
                </wp:inline>
              </w:drawing>
            </w:r>
          </w:p>
        </w:tc>
        <w:tc>
          <w:tcPr>
            <w:tcW w:type="dxa" w:w="7560"/>
            <w:shd w:fill="FCFAF7"/>
            <w:tcMar>
              <w:top w:w="70" w:type="dxa"/>
              <w:start w:w="120" w:type="dxa"/>
              <w:bottom w:w="70" w:type="dxa"/>
              <w:end w:w="120" w:type="dxa"/>
            </w:tcMar>
            <w:vAlign w:val="center"/>
          </w:tcPr>
          <w:p>
            <w:pPr>
              <w:jc w:val="right"/>
            </w:pPr>
            <w:r>
              <w:rPr>
                <w:b/>
                <w:color w:val="24211E"/>
                <w:sz w:val="36"/>
              </w:rPr>
              <w:t>PivoWorlds</w:t>
            </w:r>
          </w:p>
        </w:tc>
      </w:tr>
    </w:tbl>
    <w:p>
      <w:pPr>
        <w:pStyle w:val="OfferKicker"/>
      </w:pPr>
      <w:r>
        <w:rPr>
          <w:rFonts w:ascii="Calibri" w:hAnsi="Calibri"/>
          <w:color w:val="2D2D2D"/>
          <w:sz w:val="22"/>
        </w:rPr>
        <w:t>ДОКУМЕНТЫ МАГАЗИНА  /  РЕДАКЦИЯ 12.08.2026</w:t>
      </w:r>
    </w:p>
    <w:p>
      <w:pPr>
        <w:pStyle w:val="Title"/>
        <w:spacing w:after="120"/>
      </w:pPr>
      <w:r>
        <w:t>Публичная оферта</w:t>
      </w:r>
    </w:p>
    <w:p>
      <w:pPr>
        <w:spacing w:after="360"/>
      </w:pPr>
      <w:r>
        <w:rPr>
          <w:color w:val="68625C"/>
          <w:sz w:val="26"/>
        </w:rPr>
        <w:t>о приобретении цифровых услуг и игровых товаров для сервера Minecraft PivoWorlds</w:t>
      </w:r>
    </w:p>
    <w:tbl>
      <w:tblPr>
        <w:tblW w:type="dxa" w:w="9360"/>
        <w:tblLayout w:type="fixed"/>
        <w:tblLook w:firstColumn="1" w:firstRow="1" w:lastColumn="0" w:lastRow="0" w:noHBand="0" w:noVBand="1" w:val="04A0"/>
        <w:tblInd w:type="dxa" w:w="120"/>
      </w:tblPr>
      <w:tblGrid>
        <w:gridCol w:w="3120"/>
        <w:gridCol w:w="3120"/>
        <w:gridCol w:w="3120"/>
      </w:tblGrid>
      <w:tr>
        <w:trPr>
          <w:tblHeader w:val="true"/>
        </w:trPr>
        <w:tc>
          <w:tcPr>
            <w:tcW w:type="dxa" w:w="3120"/>
            <w:shd w:fill="F6EBDD"/>
            <w:tcMar>
              <w:top w:w="110" w:type="dxa"/>
              <w:start w:w="120" w:type="dxa"/>
              <w:bottom w:w="110" w:type="dxa"/>
              <w:end w:w="120" w:type="dxa"/>
            </w:tcMar>
          </w:tcPr>
          <w:p>
            <w:pPr>
              <w:spacing w:after="40"/>
            </w:pPr>
            <w:r/>
            <w:r>
              <w:rPr>
                <w:b/>
                <w:color w:val="9B5413"/>
                <w:sz w:val="16"/>
              </w:rPr>
              <w:t>САЙТ</w:t>
            </w:r>
          </w:p>
          <w:p>
            <w:pPr>
              <w:spacing w:after="0"/>
            </w:pPr>
            <w:r>
              <w:rPr>
                <w:b/>
                <w:color w:val="24211E"/>
                <w:sz w:val="21"/>
              </w:rPr>
              <w:t>pwworlds.ru</w:t>
            </w:r>
          </w:p>
        </w:tc>
        <w:tc>
          <w:tcPr>
            <w:tcW w:type="dxa" w:w="3120"/>
            <w:shd w:fill="F6EBDD"/>
            <w:tcMar>
              <w:top w:w="110" w:type="dxa"/>
              <w:start w:w="120" w:type="dxa"/>
              <w:bottom w:w="110" w:type="dxa"/>
              <w:end w:w="120" w:type="dxa"/>
            </w:tcMar>
          </w:tcPr>
          <w:p>
            <w:pPr>
              <w:spacing w:after="40"/>
            </w:pPr>
            <w:r/>
            <w:r>
              <w:rPr>
                <w:b/>
                <w:color w:val="9B5413"/>
                <w:sz w:val="16"/>
              </w:rPr>
              <w:t>ИСПОЛНИТЕЛЬ</w:t>
            </w:r>
          </w:p>
          <w:p>
            <w:pPr>
              <w:spacing w:after="0"/>
            </w:pPr>
            <w:r>
              <w:rPr>
                <w:b/>
                <w:color w:val="24211E"/>
                <w:sz w:val="21"/>
              </w:rPr>
              <w:t>Шкуратов В. Г.</w:t>
            </w:r>
          </w:p>
        </w:tc>
        <w:tc>
          <w:tcPr>
            <w:tcW w:type="dxa" w:w="3120"/>
            <w:shd w:fill="F6EBDD"/>
            <w:tcMar>
              <w:top w:w="110" w:type="dxa"/>
              <w:start w:w="120" w:type="dxa"/>
              <w:bottom w:w="110" w:type="dxa"/>
              <w:end w:w="120" w:type="dxa"/>
            </w:tcMar>
          </w:tcPr>
          <w:p>
            <w:pPr>
              <w:spacing w:after="40"/>
            </w:pPr>
            <w:r/>
            <w:r>
              <w:rPr>
                <w:b/>
                <w:color w:val="9B5413"/>
                <w:sz w:val="16"/>
              </w:rPr>
              <w:t>ИНН</w:t>
            </w:r>
          </w:p>
          <w:p>
            <w:pPr>
              <w:spacing w:after="0"/>
            </w:pPr>
            <w:r>
              <w:rPr>
                <w:b/>
                <w:color w:val="24211E"/>
                <w:sz w:val="21"/>
              </w:rPr>
              <w:t>324101145804</w:t>
            </w:r>
          </w:p>
        </w:tc>
      </w:tr>
    </w:tbl>
    <w:tbl>
      <w:tblPr>
        <w:tblW w:type="dxa" w:w="9360"/>
        <w:tblLayout w:type="fixed"/>
        <w:tblLook w:firstColumn="1" w:firstRow="1" w:lastColumn="0" w:lastRow="0" w:noHBand="0" w:noVBand="1" w:val="04A0"/>
        <w:tblInd w:type="dxa" w:w="120"/>
      </w:tblPr>
      <w:tblGrid>
        <w:gridCol w:w="9360"/>
      </w:tblGrid>
      <w:tr>
        <w:trPr>
          <w:tblHeader w:val="true"/>
        </w:trPr>
        <w:tc>
          <w:tcPr>
            <w:tcW w:type="dxa" w:w="9360"/>
            <w:shd w:fill="FFF5E8"/>
            <w:tcMar>
              <w:top w:w="150" w:type="dxa"/>
              <w:start w:w="120" w:type="dxa"/>
              <w:bottom w:w="150" w:type="dxa"/>
              <w:end w:w="120" w:type="dxa"/>
            </w:tcMar>
          </w:tcPr>
          <w:p>
            <w:pPr>
              <w:spacing w:after="0"/>
            </w:pPr>
            <w:r>
              <w:rPr>
                <w:b/>
                <w:color w:val="9B5413"/>
              </w:rPr>
              <w:t xml:space="preserve">ВАЖНО. </w:t>
            </w:r>
            <w:r>
              <w:t>Оплачивая заказ, покупатель подтверждает, что ознакомился с офертой, правилами проекта и характеристиками выбранного товара.</w:t>
            </w:r>
          </w:p>
        </w:tc>
      </w:tr>
    </w:tbl>
    <w:p/>
    <w:p>
      <w:pPr>
        <w:pStyle w:val="Heading1"/>
      </w:pPr>
      <w:r>
        <w:t>1. Общие положения</w:t>
      </w:r>
    </w:p>
    <w:p>
      <w:pPr>
        <w:keepLines/>
      </w:pPr>
      <w:r>
        <w:t>Настоящий документ является предложением Шкуратова Владислава Геннадьевича (далее — «Исполнитель») заключить договор на изложенных ниже условиях.</w:t>
      </w:r>
    </w:p>
    <w:p>
      <w:pPr>
        <w:keepLines/>
      </w:pPr>
      <w:r>
        <w:t>Акцептом оферты является оплата заказа на сайте pwworlds.ru. Договор считается заключённым с момента успешной оплаты. Покупатель до оплаты знакомится с карточкой товара, правилами проекта, настоящей офертой и политикой конфиденциальности.</w:t>
      </w:r>
    </w:p>
    <w:p>
      <w:pPr>
        <w:pStyle w:val="Heading1"/>
      </w:pPr>
      <w:r>
        <w:t>2. Термины</w:t>
      </w:r>
    </w:p>
    <w:p>
      <w:pPr>
        <w:keepLines/>
      </w:pPr>
      <w:r>
        <w:t>Сайт — pwworlds.ru и размещённый на нём магазин.</w:t>
      </w:r>
    </w:p>
    <w:p>
      <w:pPr>
        <w:keepLines/>
      </w:pPr>
      <w:r>
        <w:t>Проект — игровой сервер Minecraft PivoWorlds и связанные с ним цифровые сервисы.</w:t>
      </w:r>
    </w:p>
    <w:p>
      <w:pPr>
        <w:keepLines/>
      </w:pPr>
      <w:r>
        <w:t>Товар — цифровая услуга, привилегия, набор, косметический эффект или иная функция, характеристики которой указаны в карточке товара.</w:t>
      </w:r>
    </w:p>
    <w:p>
      <w:pPr>
        <w:keepLines/>
      </w:pPr>
      <w:r>
        <w:t>Покупатель — дееспособное лицо, оформляющее заказ. Несовершеннолетний подтверждает согласие законного представителя.</w:t>
      </w:r>
    </w:p>
    <w:p>
      <w:pPr>
        <w:pStyle w:val="Heading1"/>
      </w:pPr>
      <w:r>
        <w:t>3. Предмет договора</w:t>
      </w:r>
    </w:p>
    <w:p>
      <w:pPr>
        <w:keepLines/>
      </w:pPr>
      <w:r>
        <w:t>Исполнитель предоставляет Покупателю доступ к выбранным цифровым возможностям проекта в объёме и на срок, указанные в карточке товара.</w:t>
      </w:r>
    </w:p>
    <w:p>
      <w:pPr>
        <w:keepLines/>
      </w:pPr>
      <w:r>
        <w:t>Покупка не передаёт право собственности на Minecraft, программный код, сервер или объекты интеллектуальной собственности и не освобождает Покупателя от соблюдения правил проекта.</w:t>
      </w:r>
    </w:p>
    <w:p>
      <w:pPr>
        <w:pStyle w:val="Heading1"/>
      </w:pPr>
      <w:r>
        <w:t>4. Оформление заказа и оплата</w:t>
      </w:r>
    </w:p>
    <w:p>
      <w:pPr>
        <w:keepLines/>
      </w:pPr>
      <w:r>
        <w:rPr>
          <w:rFonts w:ascii="Calibri" w:hAnsi="Calibri"/>
          <w:color w:val="2D2D2D"/>
          <w:sz w:val="22"/>
        </w:rPr>
        <w:t>Покупатель самостоятельно выбирает товар, знакомится с его подробным описанием, потребительскими свойствами, сроком действия и ограничениями в карточке, затем указывает корректный Minecraft-ник и email. Актуальная цена в рублях и итоговая сумма, включая скидку или сертификат, показываются до оплаты. Оплата проводится через RoboKassa банковской картой, СБП или иным способом, доступным на платёжной странице. Исполнитель не получает полные реквизиты банковской карты. Пошаговый порядок оформления опубликован на pwworlds.ru/buyers.</w:t>
      </w:r>
    </w:p>
    <w:p>
      <w:pPr>
        <w:keepLines/>
      </w:pPr>
      <w:r>
        <w:rPr>
          <w:rFonts w:ascii="Calibri" w:hAnsi="Calibri"/>
          <w:color w:val="2D2D2D"/>
          <w:sz w:val="22"/>
        </w:rPr>
        <w:t>Оплата проводится через RoboKassa банковской картой, СБП или иным способом, доступным на платёжной странице. Исполнитель не получает полные реквизиты банковской карты. Обязательство по оплате считается исполненным после подтверждения платежа платёжным провайдером.</w:t>
      </w:r>
    </w:p>
    <w:p>
      <w:pPr>
        <w:pStyle w:val="Heading1"/>
      </w:pPr>
      <w:r>
        <w:t>5. Выдача и активация</w:t>
      </w:r>
    </w:p>
    <w:p>
      <w:pPr>
        <w:keepLines/>
      </w:pPr>
      <w:r>
        <w:rPr>
          <w:rFonts w:ascii="Calibri" w:hAnsi="Calibri"/>
          <w:color w:val="2D2D2D"/>
          <w:sz w:val="22"/>
        </w:rPr>
        <w:t>После подтверждения оплаты RoboKassa товар передаётся на автоматическую выдачу на указанный Minecraft-аккаунт. Обычный срок — сразу после подтверждения платежа, как правило до 5 минут. Для активации может потребоваться повторный вход на сервер. Код подарочного сертификата появляется в истории покупок после подтверждения оплаты и действует 1 год. Если выдача не произошла в течение 15 минут, покупателю следует не повторять оплату, а обратиться в поддержку с номером заказа и ником. При технической ошибке Исполнитель повторно выдаст услугу либо предложит возврат средств.</w:t>
      </w:r>
    </w:p>
    <w:p>
      <w:pPr>
        <w:keepLines/>
      </w:pPr>
      <w:r>
        <w:t>Покупатель отвечает за корректность введённых данных. Если ник указан ошибочно, Исполнитель оказывает содействие, когда перенос технически возможен и не нарушает права других пользователей.</w:t>
      </w:r>
    </w:p>
    <w:p>
      <w:pPr>
        <w:keepLines/>
      </w:pPr>
      <w:r>
        <w:t>Если автоматическая выдача не состоялась, Покупателю следует не повторять оплату, сохранить номер платежа и обратиться в поддержку.</w:t>
      </w:r>
    </w:p>
    <w:p>
      <w:pPr>
        <w:pStyle w:val="Heading1"/>
      </w:pPr>
      <w:r>
        <w:t>6. Права и обязанности сторон</w:t>
      </w:r>
    </w:p>
    <w:p>
      <w:pPr>
        <w:keepLines/>
      </w:pPr>
      <w:r>
        <w:t>Исполнитель обязан предоставить оплаченный товар в соответствии с его описанием и оказать разумную поддержку при подтверждённой технической ошибке.</w:t>
      </w:r>
    </w:p>
    <w:p>
      <w:pPr>
        <w:keepLines/>
      </w:pPr>
      <w:r>
        <w:t>Покупатель обязан соблюдать правила проекта, не использовать ошибки, не вмешиваться в работу сайта и не передавать доступ к аккаунту третьим лицам.</w:t>
      </w:r>
    </w:p>
    <w:p>
      <w:pPr>
        <w:keepLines/>
      </w:pPr>
      <w:r>
        <w:t>Блокировка за нарушение правил проекта сама по себе не означает ненадлежащее оказание ранее предоставленной услуги и не создаёт безусловного права на возврат.</w:t>
      </w:r>
    </w:p>
    <w:p>
      <w:pPr>
        <w:pStyle w:val="Heading1"/>
      </w:pPr>
      <w:r>
        <w:rPr>
          <w:rFonts w:ascii="Calibri" w:hAnsi="Calibri"/>
          <w:color w:val="2D2D2D"/>
          <w:sz w:val="22"/>
        </w:rPr>
        <w:t>7. Отказ от услуги и возврат средств</w:t>
      </w:r>
    </w:p>
    <w:p>
      <w:pPr>
        <w:keepLines/>
      </w:pPr>
      <w:r>
        <w:rPr>
          <w:rFonts w:ascii="Calibri" w:hAnsi="Calibri"/>
          <w:color w:val="2D2D2D"/>
          <w:sz w:val="22"/>
        </w:rPr>
        <w:t>Покупатель вправе отказаться от услуги в любое время. До начала оказания услуги покупатель может отменить заказ и запросить возврат уплаченной суммы. Если оказание уже началось, заявление рассматривается с учётом фактически оказанной части и документально подтверждённых расходов Исполнителя, непосредственно связанных с исполнением конкретного заказа. Эти правила не ограничивают права покупателя при недостатках услуги, технической невыдаче, несоответствии описанию или ошибочном повторном списании.</w:t>
      </w:r>
    </w:p>
    <w:p>
      <w:pPr>
        <w:keepLines/>
      </w:pPr>
      <w:r>
        <w:rPr>
          <w:rFonts w:ascii="Calibri" w:hAnsi="Calibri"/>
          <w:color w:val="2D2D2D"/>
          <w:sz w:val="22"/>
        </w:rPr>
        <w:t>Порядок возврата: 1) подготовьте номер заказа или платежа, Minecraft-ник, email, дату, сумму и причину; 2) направьте заявление через форму поддержки pwworlds.ru/complaints либо на wlad.shkuratow8888@gmail.com с темой «Возврат по заказу №…»; 3) дождитесь подтверждения регистрации; 4) требование будет рассмотрено в срок до 10 календарных дней со дня получения полного обращения; 5) одобренная сумма возвращается тем же способом, которым была выполнена оплата, без удержания комиссии платёжного сервиса или банка. Срок фактического зачисления после операции зависит от банка или платёжной системы.</w:t>
      </w:r>
    </w:p>
    <w:p>
      <w:pPr>
        <w:pStyle w:val="Heading1"/>
      </w:pPr>
      <w:r>
        <w:t>8. Правила использования цифровых товаров</w:t>
      </w:r>
    </w:p>
    <w:p>
      <w:pPr>
        <w:keepLines/>
      </w:pPr>
      <w:r>
        <w:t>Привилегии и товары используются только в рамках функциональности проекта. Исполнитель вправе корректировать игровой баланс без изъятия уже оплаченного объёма услуги либо с предоставлением равноценной замены.</w:t>
      </w:r>
    </w:p>
    <w:p>
      <w:pPr>
        <w:keepLines/>
      </w:pPr>
      <w:r>
        <w:t>Виртуальные объекты не являются деньгами, средствами платежа или инвестиционным активом и не подлежат обмену между пользователями вне предусмотренных проектом механик.</w:t>
      </w:r>
    </w:p>
    <w:p>
      <w:pPr>
        <w:pStyle w:val="Heading1"/>
      </w:pPr>
      <w:r>
        <w:t>9. Персональные данные</w:t>
      </w:r>
    </w:p>
    <w:p>
      <w:pPr>
        <w:keepLines/>
      </w:pPr>
      <w:r>
        <w:t>Для оформления и исполнения заказа обрабатываются никнейм, email, идентификаторы заказа, сведения о статусе платежа и необходимые технические данные.</w:t>
      </w:r>
    </w:p>
    <w:p>
      <w:pPr>
        <w:keepLines/>
      </w:pPr>
      <w:r>
        <w:t>Обработка выполняется в соответствии с политикой конфиденциальности сайта. Платёжные реквизиты обрабатываются платёжным провайдером и не сохраняются Исполнителем в полном объёме.</w:t>
      </w:r>
    </w:p>
    <w:p>
      <w:pPr>
        <w:pStyle w:val="Heading1"/>
      </w:pPr>
      <w:r>
        <w:t>10. Minecraft и права третьих лиц</w:t>
      </w:r>
    </w:p>
    <w:p>
      <w:pPr>
        <w:keepLines/>
      </w:pPr>
      <w:r>
        <w:t>PivoWorlds является независимым игровым проектом, не связанным с Mojang Studios или Microsoft. Minecraft и связанные обозначения принадлежат соответствующим правообладателям.</w:t>
      </w:r>
    </w:p>
    <w:p>
      <w:pPr>
        <w:keepLines/>
      </w:pPr>
      <w:r>
        <w:t>Покупатель получает исключительно описанную цифровую услугу внутри проекта и не приобретает прав на товарные знаки, игровые материалы или программное обеспечение третьих лиц.</w:t>
      </w:r>
    </w:p>
    <w:p>
      <w:pPr>
        <w:pStyle w:val="Heading1"/>
      </w:pPr>
      <w:r>
        <w:t>11. Ответственность и непреодолимая сила</w:t>
      </w:r>
    </w:p>
    <w:p>
      <w:pPr>
        <w:keepLines/>
      </w:pPr>
      <w:r>
        <w:t>Стороны несут ответственность в пределах, установленных законодательством Российской Федерации.</w:t>
      </w:r>
    </w:p>
    <w:p>
      <w:pPr>
        <w:keepLines/>
      </w:pPr>
      <w:r>
        <w:t>Исполнитель не отвечает за недоступность сторонних сервисов, действия платёжной системы, сбои связи и обстоятельства непреодолимой силы, но принимает разумные меры для восстановления выдачи. Ограничения ответственности не применяются там, где они запрещены законом.</w:t>
      </w:r>
    </w:p>
    <w:p>
      <w:pPr>
        <w:pStyle w:val="Heading1"/>
      </w:pPr>
      <w:r>
        <w:t>12. Обращения и споры</w:t>
      </w:r>
    </w:p>
    <w:p>
      <w:pPr>
        <w:keepLines/>
      </w:pPr>
      <w:r>
        <w:t>По вопросам заказа Покупатель направляет номер платежа, Minecraft-ник и описание ситуации через раздел «Жалобы» на сайте либо на email Исполнителя.</w:t>
      </w:r>
    </w:p>
    <w:p>
      <w:pPr>
        <w:keepLines/>
      </w:pPr>
      <w:r>
        <w:t>Стороны стремятся урегулировать спор путём переговоров и претензионной переписки. При недостижении соглашения спор разрешается в порядке, установленном законодательством Российской Федерации.</w:t>
      </w:r>
    </w:p>
    <w:p>
      <w:pPr>
        <w:pStyle w:val="Heading1"/>
      </w:pPr>
      <w:r>
        <w:t>13. Срок действия и изменения</w:t>
      </w:r>
    </w:p>
    <w:p>
      <w:pPr>
        <w:keepLines/>
      </w:pPr>
      <w:r>
        <w:t>Оферта действует с момента публикации до её отзыва. Новая редакция применяется к заказам, оплаченным после публикации; к ранее оплаченному заказу применяется редакция, действовавшая в момент оплаты.</w:t>
      </w:r>
    </w:p>
    <w:p>
      <w:pPr>
        <w:pStyle w:val="Heading1"/>
      </w:pPr>
      <w:r>
        <w:t>14. Реквизиты Исполнителя</w:t>
      </w:r>
    </w:p>
    <w:tbl>
      <w:tblPr>
        <w:tblStyle w:val="TableGrid"/>
        <w:tblW w:type="dxa" w:w="9360"/>
        <w:tblLayout w:type="fixed"/>
        <w:tblLook w:firstColumn="1" w:firstRow="1" w:lastColumn="0" w:lastRow="0" w:noHBand="0" w:noVBand="1" w:val="04A0"/>
        <w:tblInd w:type="dxa" w:w="120"/>
      </w:tblPr>
      <w:tblGrid>
        <w:gridCol w:w="2700"/>
        <w:gridCol w:w="6660"/>
      </w:tblGrid>
      <w:tr>
        <w:trPr>
          <w:tblHeader w:val="true"/>
        </w:trPr>
        <w:tc>
          <w:tcPr>
            <w:tcW w:type="dxa" w:w="2700"/>
            <w:tcMar>
              <w:top w:w="110" w:type="dxa"/>
              <w:start w:w="120" w:type="dxa"/>
              <w:bottom w:w="110" w:type="dxa"/>
              <w:end w:w="120" w:type="dxa"/>
            </w:tcMar>
            <w:shd w:fill="F6EBDD"/>
          </w:tcPr>
          <w:p>
            <w:pPr>
              <w:spacing w:after="40"/>
            </w:pPr>
            <w:r/>
            <w:r>
              <w:rPr>
                <w:b/>
                <w:color w:val="9B5413"/>
                <w:sz w:val="16"/>
              </w:rPr>
              <w:t>ПОЛЕ</w:t>
            </w:r>
          </w:p>
          <w:p>
            <w:pPr>
              <w:spacing w:after="0"/>
            </w:pPr>
            <w:r>
              <w:rPr>
                <w:b/>
                <w:color w:val="24211E"/>
                <w:sz w:val="21"/>
              </w:rPr>
              <w:t>ФИО</w:t>
            </w:r>
          </w:p>
        </w:tc>
        <w:tc>
          <w:tcPr>
            <w:tcW w:type="dxa" w:w="6660"/>
            <w:tcMar>
              <w:top w:w="110" w:type="dxa"/>
              <w:start w:w="120" w:type="dxa"/>
              <w:bottom w:w="110" w:type="dxa"/>
              <w:end w:w="120" w:type="dxa"/>
            </w:tcMar>
            <w:shd w:fill="F6EBDD"/>
          </w:tcPr>
          <w:p>
            <w:pPr>
              <w:spacing w:after="40"/>
            </w:pPr>
            <w:r/>
            <w:r>
              <w:rPr>
                <w:b/>
                <w:color w:val="9B5413"/>
                <w:sz w:val="16"/>
              </w:rPr>
              <w:t>ЗНАЧЕНИЕ</w:t>
            </w:r>
          </w:p>
          <w:p>
            <w:pPr>
              <w:spacing w:after="0"/>
            </w:pPr>
            <w:r>
              <w:rPr>
                <w:b/>
                <w:color w:val="24211E"/>
                <w:sz w:val="21"/>
              </w:rPr>
              <w:t>Шкуратов Владислав Геннадьевич</w:t>
            </w:r>
          </w:p>
        </w:tc>
      </w:tr>
      <w:tr>
        <w:tc>
          <w:tcPr>
            <w:tcW w:type="dxa" w:w="2700"/>
            <w:tcMar>
              <w:top w:w="110" w:type="dxa"/>
              <w:start w:w="120" w:type="dxa"/>
              <w:bottom w:w="110" w:type="dxa"/>
              <w:end w:w="120" w:type="dxa"/>
            </w:tcMar>
            <w:shd w:fill="FCFAF7"/>
          </w:tcPr>
          <w:p>
            <w:pPr>
              <w:spacing w:after="40"/>
            </w:pPr>
            <w:r/>
            <w:r>
              <w:rPr>
                <w:b/>
                <w:color w:val="9B5413"/>
                <w:sz w:val="16"/>
              </w:rPr>
              <w:t>ПОЛЕ</w:t>
            </w:r>
          </w:p>
          <w:p>
            <w:pPr>
              <w:spacing w:after="0"/>
            </w:pPr>
            <w:r>
              <w:rPr>
                <w:b/>
                <w:color w:val="24211E"/>
                <w:sz w:val="21"/>
              </w:rPr>
              <w:t>ИНН</w:t>
            </w:r>
          </w:p>
        </w:tc>
        <w:tc>
          <w:tcPr>
            <w:tcW w:type="dxa" w:w="6660"/>
            <w:tcMar>
              <w:top w:w="110" w:type="dxa"/>
              <w:start w:w="120" w:type="dxa"/>
              <w:bottom w:w="110" w:type="dxa"/>
              <w:end w:w="120" w:type="dxa"/>
            </w:tcMar>
            <w:shd w:fill="FCFAF7"/>
          </w:tcPr>
          <w:p>
            <w:pPr>
              <w:spacing w:after="40"/>
            </w:pPr>
            <w:r/>
            <w:r>
              <w:rPr>
                <w:b/>
                <w:color w:val="9B5413"/>
                <w:sz w:val="16"/>
              </w:rPr>
              <w:t>ЗНАЧЕНИЕ</w:t>
            </w:r>
          </w:p>
          <w:p>
            <w:pPr>
              <w:spacing w:after="0"/>
            </w:pPr>
            <w:r>
              <w:rPr>
                <w:b/>
                <w:color w:val="24211E"/>
                <w:sz w:val="21"/>
              </w:rPr>
              <w:t>324101145804</w:t>
            </w:r>
          </w:p>
        </w:tc>
      </w:tr>
      <w:tr>
        <w:tc>
          <w:tcPr>
            <w:tcW w:type="dxa" w:w="2700"/>
            <w:tcMar>
              <w:top w:w="110" w:type="dxa"/>
              <w:start w:w="120" w:type="dxa"/>
              <w:bottom w:w="110" w:type="dxa"/>
              <w:end w:w="120" w:type="dxa"/>
            </w:tcMar>
            <w:shd w:fill="FCFAF7"/>
          </w:tcPr>
          <w:p>
            <w:pPr>
              <w:spacing w:after="40"/>
            </w:pPr>
            <w:r/>
            <w:r>
              <w:rPr>
                <w:b/>
                <w:color w:val="9B5413"/>
                <w:sz w:val="16"/>
              </w:rPr>
              <w:t>ПОЛЕ</w:t>
            </w:r>
          </w:p>
          <w:p>
            <w:pPr>
              <w:spacing w:after="0"/>
            </w:pPr>
            <w:r>
              <w:rPr>
                <w:b/>
                <w:color w:val="24211E"/>
                <w:sz w:val="21"/>
              </w:rPr>
              <w:t>Email</w:t>
            </w:r>
          </w:p>
        </w:tc>
        <w:tc>
          <w:tcPr>
            <w:tcW w:type="dxa" w:w="6660"/>
            <w:tcMar>
              <w:top w:w="110" w:type="dxa"/>
              <w:start w:w="120" w:type="dxa"/>
              <w:bottom w:w="110" w:type="dxa"/>
              <w:end w:w="120" w:type="dxa"/>
            </w:tcMar>
            <w:shd w:fill="FCFAF7"/>
          </w:tcPr>
          <w:p>
            <w:pPr>
              <w:spacing w:after="40"/>
            </w:pPr>
            <w:r/>
            <w:r>
              <w:rPr>
                <w:b/>
                <w:color w:val="9B5413"/>
                <w:sz w:val="16"/>
              </w:rPr>
              <w:t>ЗНАЧЕНИЕ</w:t>
            </w:r>
          </w:p>
          <w:p>
            <w:pPr>
              <w:spacing w:after="0"/>
            </w:pPr>
            <w:r>
              <w:rPr>
                <w:b/>
                <w:color w:val="24211E"/>
                <w:sz w:val="21"/>
              </w:rPr>
              <w:t>wlad.shkuratow8888@gmail.com</w:t>
            </w:r>
          </w:p>
        </w:tc>
      </w:tr>
      <w:tr>
        <w:tc>
          <w:tcPr>
            <w:tcW w:type="dxa" w:w="2700"/>
            <w:tcMar>
              <w:top w:w="110" w:type="dxa"/>
              <w:start w:w="120" w:type="dxa"/>
              <w:bottom w:w="110" w:type="dxa"/>
              <w:end w:w="120" w:type="dxa"/>
            </w:tcMar>
            <w:shd w:fill="F6EBDD"/>
          </w:tcPr>
          <w:p>
            <w:pPr>
              <w:spacing w:after="40"/>
            </w:pPr>
            <w:r/>
            <w:r>
              <w:rPr>
                <w:b/>
                <w:color w:val="9B5413"/>
                <w:sz w:val="16"/>
              </w:rPr>
              <w:t>ПОЛЕ</w:t>
            </w:r>
          </w:p>
          <w:p>
            <w:pPr>
              <w:spacing w:after="0"/>
            </w:pPr>
            <w:r>
              <w:rPr>
                <w:b/>
                <w:color w:val="24211E"/>
                <w:sz w:val="21"/>
              </w:rPr>
              <w:t>Сайт</w:t>
            </w:r>
          </w:p>
        </w:tc>
        <w:tc>
          <w:tcPr>
            <w:tcW w:type="dxa" w:w="6660"/>
            <w:tcMar>
              <w:top w:w="110" w:type="dxa"/>
              <w:start w:w="120" w:type="dxa"/>
              <w:bottom w:w="110" w:type="dxa"/>
              <w:end w:w="120" w:type="dxa"/>
            </w:tcMar>
            <w:shd w:fill="F6EBDD"/>
          </w:tcPr>
          <w:p>
            <w:pPr>
              <w:spacing w:after="40"/>
            </w:pPr>
            <w:r/>
            <w:r>
              <w:rPr>
                <w:b/>
                <w:color w:val="9B5413"/>
                <w:sz w:val="16"/>
              </w:rPr>
              <w:t>ЗНАЧЕНИЕ</w:t>
            </w:r>
          </w:p>
          <w:p>
            <w:pPr>
              <w:spacing w:after="0"/>
            </w:pPr>
            <w:r>
              <w:rPr>
                <w:b/>
                <w:color w:val="24211E"/>
                <w:sz w:val="21"/>
              </w:rPr>
              <w:t>https://pwworlds.ru</w:t>
            </w:r>
          </w:p>
        </w:tc>
      </w:tr>
    </w:tbl>
    <w:p>
      <w:pPr>
        <w:spacing w:before="360" w:after="0"/>
        <w:jc w:val="center"/>
      </w:pPr>
      <w:r>
        <w:rPr>
          <w:b/>
          <w:color w:val="9B5413"/>
          <w:sz w:val="18"/>
        </w:rPr>
        <w:t>PivoWorlds · честные условия для понятной покупки</w:t>
      </w:r>
    </w:p>
    <w:sectPr w:rsidR="00FC693F" w:rsidRPr="0006063C" w:rsidSect="00034616">
      <w:headerReference w:type="default" r:id="rId9"/>
      <w:footerReference w:type="default" r:id="rId10"/>
      <w:pgSz w:w="12240" w:h="15840"/>
      <w:pgMar w:top="1123" w:right="1440" w:bottom="103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8625C"/>
        <w:sz w:val="16"/>
      </w:rPr>
      <w:t xml:space="preserve">pwworlds.ru   ·   ИНН 324101145804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68625C"/>
        <w:sz w:val="16"/>
      </w:rPr>
      <w:t>PIVOWORLDS  ·  ПУБЛИЧНАЯ ОФЕРТА</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Calibri" w:hAnsi="Calibri"/>
      <w:color w:val="24211E"/>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Calibri" w:hAnsi="Calibri"/>
      <w:b/>
      <w:bCs/>
      <w:color w:val="9B5413"/>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Calibri" w:hAnsi="Calibri"/>
      <w:b/>
      <w:color w:val="24211E"/>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OfferKicker">
    <w:name w:val="Offer Kicker"/>
    <w:pPr>
      <w:spacing w:after="240"/>
    </w:pPr>
    <w:rPr>
      <w:rFonts w:ascii="Calibri" w:hAnsi="Calibri"/>
      <w:b/>
      <w:color w:val="E88920"/>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Публичная оферта PivoWorlds</dc:title>
  <dc:subject>Условия заказа, оплаты, выдачи и возврата цифровых услуг</dc:subject>
  <dc:creator>Шкуратов Владислав Геннадьевич</dc:creator>
  <cp:keywords>PivoWorlds, Minecraft, публичная оферта, RoboKassa</cp:keywords>
  <dc:description>generated by python-docx</dc:description>
  <cp:lastModifiedBy/>
  <cp:revision>1</cp:revision>
  <dcterms:created xsi:type="dcterms:W3CDTF">2013-12-23T23:15:00Z</dcterms:created>
  <dcterms:modified xsi:type="dcterms:W3CDTF">2013-12-23T23:15:00Z</dcterms:modified>
  <cp:category/>
</cp:coreProperties>
</file>